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BB" w:rsidRPr="00F8047D" w:rsidRDefault="00844ABB" w:rsidP="00844ABB">
      <w:pPr>
        <w:tabs>
          <w:tab w:val="left" w:pos="1895"/>
        </w:tabs>
        <w:spacing w:after="0" w:line="240" w:lineRule="auto"/>
        <w:ind w:left="44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ТАБЛИЦА ПРЕДЛОЖЕ</w:t>
      </w:r>
      <w:r w:rsidRPr="00F804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ТПП РФ</w:t>
      </w:r>
    </w:p>
    <w:p w:rsidR="00844ABB" w:rsidRDefault="00844ABB" w:rsidP="00844AB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688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 </w:t>
      </w:r>
      <w:r w:rsidRPr="00C96883">
        <w:rPr>
          <w:rFonts w:ascii="Times New Roman" w:hAnsi="Times New Roman" w:cs="Times New Roman"/>
          <w:b/>
          <w:sz w:val="24"/>
          <w:szCs w:val="24"/>
        </w:rPr>
        <w:t xml:space="preserve">проекту приказа Минтруда России </w:t>
      </w:r>
      <w:r w:rsidRPr="00C96883">
        <w:rPr>
          <w:rFonts w:ascii="Times New Roman" w:hAnsi="Times New Roman" w:cs="Times New Roman"/>
          <w:b/>
          <w:bCs/>
          <w:iCs/>
          <w:sz w:val="24"/>
          <w:szCs w:val="24"/>
        </w:rPr>
        <w:t>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14 июля 2021 г. № 467н»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44ABB" w:rsidRPr="005F4C31" w:rsidRDefault="00844ABB" w:rsidP="00844A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pPr w:leftFromText="180" w:rightFromText="180" w:vertAnchor="text" w:tblpX="172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417"/>
        <w:gridCol w:w="5800"/>
        <w:gridCol w:w="4530"/>
        <w:gridCol w:w="4529"/>
      </w:tblGrid>
      <w:tr w:rsidR="00844ABB" w:rsidRPr="0020237F" w:rsidTr="002D0DC0">
        <w:trPr>
          <w:trHeight w:val="558"/>
        </w:trPr>
        <w:tc>
          <w:tcPr>
            <w:tcW w:w="417" w:type="dxa"/>
            <w:vAlign w:val="center"/>
          </w:tcPr>
          <w:p w:rsidR="00844ABB" w:rsidRPr="00A52A72" w:rsidRDefault="00844ABB" w:rsidP="002D0DC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00" w:type="dxa"/>
            <w:shd w:val="clear" w:color="auto" w:fill="FFFFFF" w:themeFill="background1"/>
            <w:vAlign w:val="center"/>
          </w:tcPr>
          <w:p w:rsidR="00844ABB" w:rsidRPr="0020237F" w:rsidRDefault="00844ABB" w:rsidP="002D0D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3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 в текущей редакции </w:t>
            </w:r>
          </w:p>
        </w:tc>
        <w:tc>
          <w:tcPr>
            <w:tcW w:w="4530" w:type="dxa"/>
            <w:vAlign w:val="center"/>
          </w:tcPr>
          <w:p w:rsidR="00844ABB" w:rsidRPr="0020237F" w:rsidRDefault="00844ABB" w:rsidP="002D0D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D45A3A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</w:t>
            </w:r>
          </w:p>
        </w:tc>
        <w:tc>
          <w:tcPr>
            <w:tcW w:w="4529" w:type="dxa"/>
            <w:vAlign w:val="center"/>
          </w:tcPr>
          <w:p w:rsidR="00844ABB" w:rsidRPr="0020237F" w:rsidRDefault="00844ABB" w:rsidP="002D0D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</w:t>
            </w:r>
          </w:p>
        </w:tc>
      </w:tr>
      <w:tr w:rsidR="00844ABB" w:rsidRPr="00BE6A34" w:rsidTr="002D0DC0">
        <w:trPr>
          <w:trHeight w:val="20"/>
        </w:trPr>
        <w:tc>
          <w:tcPr>
            <w:tcW w:w="417" w:type="dxa"/>
            <w:shd w:val="clear" w:color="auto" w:fill="auto"/>
          </w:tcPr>
          <w:p w:rsidR="00844ABB" w:rsidRPr="00A52A72" w:rsidRDefault="00844ABB" w:rsidP="00844AB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0" w:type="dxa"/>
            <w:shd w:val="clear" w:color="auto" w:fill="auto"/>
          </w:tcPr>
          <w:p w:rsidR="00844ABB" w:rsidRPr="008C4BD0" w:rsidRDefault="00844ABB" w:rsidP="002D0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>Пункт 2, подпункт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(пункт 3 Правил, утв. приказом Минтруда России </w:t>
            </w: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>от 14 июля 2021 г. №467н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4ABB" w:rsidRPr="00C2036F" w:rsidRDefault="00844ABB" w:rsidP="002D0DC0">
            <w:pPr>
              <w:pStyle w:val="a4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44ABB" w:rsidRPr="00152D54" w:rsidRDefault="00844ABB" w:rsidP="002D0D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:rsidR="00844ABB" w:rsidRDefault="00844ABB" w:rsidP="002D0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>одпункт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844ABB" w:rsidRDefault="00844ABB" w:rsidP="002D0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ABB" w:rsidRDefault="00844ABB" w:rsidP="002D0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 п</w:t>
            </w: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>одпункт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дополнить новым абзацем следующего содержания:</w:t>
            </w:r>
          </w:p>
          <w:p w:rsidR="00844ABB" w:rsidRPr="000A6AA9" w:rsidRDefault="00844ABB" w:rsidP="002D0D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«приобретение страхователями, осуществляющими самостоятельно обучение работников по охране труда и безопасному ведению работ без отрыва от производства, компьютерных тренажеров, в том числе с использованием технологии виртуальной реальности, компьютерных обучающих программ, видеоинформационных комплексов, </w:t>
            </w:r>
            <w:proofErr w:type="spellStart"/>
            <w:r w:rsidRPr="000A6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видеоинструкций</w:t>
            </w:r>
            <w:proofErr w:type="spellEnd"/>
            <w:r w:rsidRPr="000A6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видеофильмов, манекенов для проведения сердечно-сосудистой реанимации;» </w:t>
            </w:r>
          </w:p>
          <w:p w:rsidR="00844ABB" w:rsidRDefault="00844ABB" w:rsidP="002D0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ABB" w:rsidRPr="00152D54" w:rsidRDefault="00844ABB" w:rsidP="002D0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auto"/>
          </w:tcPr>
          <w:p w:rsidR="00844ABB" w:rsidRDefault="00844ABB" w:rsidP="002D0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Предлагаем предусмотреть возможность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2036F">
              <w:rPr>
                <w:rFonts w:ascii="Times New Roman" w:hAnsi="Times New Roman" w:cs="Times New Roman"/>
                <w:bCs/>
                <w:sz w:val="24"/>
                <w:szCs w:val="24"/>
              </w:rPr>
              <w:t>инансово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C2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2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сумм страховых взносов расход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2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2036F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2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самостоятельно</w:t>
            </w:r>
            <w:proofErr w:type="gramEnd"/>
            <w:r w:rsidRPr="00C2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Pr="00C2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обучение работников по охране труда без отрыва от производства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2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приобретения для этого </w:t>
            </w:r>
            <w:r w:rsidRPr="00C2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компьютерных тренажеров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программного обеспечения, </w:t>
            </w:r>
            <w:r w:rsidRPr="00C2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видеофильмов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пр.</w:t>
            </w:r>
          </w:p>
          <w:p w:rsidR="00844ABB" w:rsidRDefault="00844ABB" w:rsidP="002D0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ABB" w:rsidRPr="00152D54" w:rsidRDefault="00844ABB" w:rsidP="002D0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36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причиной травмирования работников (70-90%) является низкий уровень компетентности в вопросах охраны труда, «челов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еческий фактор». Н</w:t>
            </w:r>
            <w:r w:rsidRPr="00C2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епрерывное обучение без отрыва от производства с использованием современных цифровых технологий, </w:t>
            </w:r>
            <w:proofErr w:type="spellStart"/>
            <w:r w:rsidRPr="00C2036F">
              <w:rPr>
                <w:rFonts w:ascii="Times New Roman" w:hAnsi="Times New Roman" w:cs="Times New Roman"/>
                <w:bCs/>
                <w:sz w:val="24"/>
                <w:szCs w:val="24"/>
              </w:rPr>
              <w:t>видеоинструкций</w:t>
            </w:r>
            <w:proofErr w:type="spellEnd"/>
            <w:r w:rsidRPr="00C2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видеофильмов позволит значительно снизить риски травмирования работников.</w:t>
            </w:r>
          </w:p>
        </w:tc>
      </w:tr>
      <w:tr w:rsidR="00844ABB" w:rsidRPr="0020237F" w:rsidTr="002D0DC0">
        <w:trPr>
          <w:trHeight w:val="20"/>
        </w:trPr>
        <w:tc>
          <w:tcPr>
            <w:tcW w:w="417" w:type="dxa"/>
            <w:shd w:val="clear" w:color="auto" w:fill="auto"/>
          </w:tcPr>
          <w:p w:rsidR="00844ABB" w:rsidRPr="00A52A72" w:rsidRDefault="00844ABB" w:rsidP="00844AB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0" w:type="dxa"/>
            <w:shd w:val="clear" w:color="auto" w:fill="auto"/>
          </w:tcPr>
          <w:p w:rsidR="00844ABB" w:rsidRPr="008C4BD0" w:rsidRDefault="00844ABB" w:rsidP="002D0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>, подпункт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(подпункт «в» пункта 6 Правил, утв. приказом Минтруда России </w:t>
            </w: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>от 14 июля 2021 г. №467н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44ABB" w:rsidRDefault="00844ABB" w:rsidP="002D0DC0">
            <w:pPr>
              <w:pStyle w:val="a6"/>
              <w:tabs>
                <w:tab w:val="clear" w:pos="360"/>
                <w:tab w:val="left" w:pos="708"/>
              </w:tabs>
              <w:ind w:left="0"/>
              <w:contextualSpacing w:val="0"/>
              <w:rPr>
                <w:sz w:val="20"/>
                <w:szCs w:val="20"/>
              </w:rPr>
            </w:pPr>
          </w:p>
          <w:p w:rsidR="00844ABB" w:rsidRPr="00BF0A92" w:rsidRDefault="00844ABB" w:rsidP="002D0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A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г) подпункт «в» изложить в следующей редакции:</w:t>
            </w:r>
          </w:p>
          <w:p w:rsidR="00844ABB" w:rsidRPr="00BF0A92" w:rsidRDefault="00844ABB" w:rsidP="002D0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A92">
              <w:rPr>
                <w:rFonts w:ascii="Times New Roman" w:hAnsi="Times New Roman" w:cs="Times New Roman"/>
                <w:bCs/>
                <w:sz w:val="24"/>
                <w:szCs w:val="24"/>
              </w:rPr>
              <w:t>«в) в случае включения в план финансового обеспечения предупредительных мер, предусмотренных подпунктом «в» пункта 3 Правил:</w:t>
            </w:r>
          </w:p>
          <w:p w:rsidR="00844ABB" w:rsidRPr="00152D54" w:rsidRDefault="00844ABB" w:rsidP="002D0DC0">
            <w:pPr>
              <w:pStyle w:val="a6"/>
              <w:tabs>
                <w:tab w:val="clear" w:pos="360"/>
                <w:tab w:val="left" w:pos="708"/>
              </w:tabs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530" w:type="dxa"/>
            <w:shd w:val="clear" w:color="auto" w:fill="auto"/>
          </w:tcPr>
          <w:p w:rsidR="00844ABB" w:rsidRPr="008C4BD0" w:rsidRDefault="00844ABB" w:rsidP="002D0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>одпункт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5 (подпункт «в» пункта 6 Правил, утв. приказом Минтруда России </w:t>
            </w:r>
            <w:r w:rsidRPr="008C4BD0">
              <w:rPr>
                <w:rFonts w:ascii="Times New Roman" w:hAnsi="Times New Roman" w:cs="Times New Roman"/>
                <w:bCs/>
                <w:sz w:val="24"/>
                <w:szCs w:val="24"/>
              </w:rPr>
              <w:t>от 14 июля 2021 г. №467н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дополнить новым абзацем следующего содержания:</w:t>
            </w:r>
          </w:p>
          <w:p w:rsidR="00844ABB" w:rsidRDefault="00844ABB" w:rsidP="002D0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ABB" w:rsidRPr="00BF0A92" w:rsidRDefault="00844ABB" w:rsidP="002D0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A92">
              <w:rPr>
                <w:rFonts w:ascii="Times New Roman" w:hAnsi="Times New Roman" w:cs="Times New Roman"/>
                <w:bCs/>
                <w:sz w:val="24"/>
                <w:szCs w:val="24"/>
              </w:rPr>
              <w:t>г) подпункт «в» изложить в следующей редакции:</w:t>
            </w:r>
          </w:p>
          <w:p w:rsidR="00844ABB" w:rsidRPr="00BF0A92" w:rsidRDefault="00844ABB" w:rsidP="002D0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A92">
              <w:rPr>
                <w:rFonts w:ascii="Times New Roman" w:hAnsi="Times New Roman" w:cs="Times New Roman"/>
                <w:bCs/>
                <w:sz w:val="24"/>
                <w:szCs w:val="24"/>
              </w:rPr>
              <w:t>«в) в случае включения в план финансового обеспечения предупредительных мер, предусмотренных подпунктом «в» пункта 3 Правил:</w:t>
            </w:r>
          </w:p>
          <w:p w:rsidR="00844ABB" w:rsidRDefault="00844ABB" w:rsidP="002D0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:rsidR="00844ABB" w:rsidRPr="009818D4" w:rsidRDefault="00844ABB" w:rsidP="002D0D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«копию локального нормативного акта о проведении обучения, в том числе непрерывного обучения охране труда с использованием современных видеоинформационных технологий; копии счетов на оплату компьютеров, тренажеров, обучающих программ, видеофильмов, </w:t>
            </w:r>
            <w:proofErr w:type="spellStart"/>
            <w:r w:rsidRPr="000A6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видеоинструкций</w:t>
            </w:r>
            <w:proofErr w:type="spellEnd"/>
            <w:r w:rsidRPr="000A6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копии документов, подтверждающих затраты страхователя на обеспечение процесса обучения с использованием приобретенных технических средств;»</w:t>
            </w:r>
          </w:p>
        </w:tc>
        <w:tc>
          <w:tcPr>
            <w:tcW w:w="4529" w:type="dxa"/>
            <w:shd w:val="clear" w:color="auto" w:fill="auto"/>
          </w:tcPr>
          <w:p w:rsidR="00844ABB" w:rsidRPr="00152D54" w:rsidRDefault="00844ABB" w:rsidP="002D0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Обоснование приведено в пункте 1 таблицы предложений.</w:t>
            </w:r>
          </w:p>
        </w:tc>
      </w:tr>
    </w:tbl>
    <w:p w:rsidR="00844ABB" w:rsidRDefault="00844ABB" w:rsidP="00844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501" w:rsidRDefault="00844ABB">
      <w:bookmarkStart w:id="0" w:name="_GoBack"/>
      <w:bookmarkEnd w:id="0"/>
    </w:p>
    <w:sectPr w:rsidR="00A43501" w:rsidSect="00844A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533FF"/>
    <w:multiLevelType w:val="hybridMultilevel"/>
    <w:tmpl w:val="154C4C46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BB"/>
    <w:rsid w:val="00844ABB"/>
    <w:rsid w:val="00A43DB2"/>
    <w:rsid w:val="00B57729"/>
    <w:rsid w:val="00D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2BC4-1EF9-4EC6-9F1B-20566C14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сз.Списка,Bullet 1,Use Case List Paragraph,List Paragraph,Bullet List,FooterText,numbered,Paragraphe de liste1,Bulletr List Paragraph,Нумерованый список,List Paragraph1,Нумерованный спиков"/>
    <w:basedOn w:val="a"/>
    <w:link w:val="a5"/>
    <w:uiPriority w:val="34"/>
    <w:qFormat/>
    <w:rsid w:val="00844ABB"/>
    <w:pPr>
      <w:ind w:left="720"/>
      <w:contextualSpacing/>
    </w:pPr>
  </w:style>
  <w:style w:type="character" w:customStyle="1" w:styleId="a5">
    <w:name w:val="Абзац списка Знак"/>
    <w:aliases w:val="асз.Списка Знак,Bullet 1 Знак,Use Case List Paragraph Знак,List Paragraph Знак,Bullet List Знак,FooterText Знак,numbered Знак,Paragraphe de liste1 Знак,Bulletr List Paragraph Знак,Нумерованый список Знак,List Paragraph1 Знак"/>
    <w:link w:val="a4"/>
    <w:uiPriority w:val="34"/>
    <w:locked/>
    <w:rsid w:val="00844ABB"/>
  </w:style>
  <w:style w:type="paragraph" w:customStyle="1" w:styleId="a6">
    <w:name w:val="Порядок Обучения"/>
    <w:basedOn w:val="a4"/>
    <w:qFormat/>
    <w:rsid w:val="00844ABB"/>
    <w:pPr>
      <w:tabs>
        <w:tab w:val="num" w:pos="36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2023-01-24T19:34:00Z</dcterms:created>
  <dcterms:modified xsi:type="dcterms:W3CDTF">2023-01-24T19:39:00Z</dcterms:modified>
</cp:coreProperties>
</file>